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FC40F" w14:textId="77777777" w:rsidR="00A16313" w:rsidRDefault="00A16313" w:rsidP="000049D8">
      <w:pPr>
        <w:pStyle w:val="Header"/>
        <w:tabs>
          <w:tab w:val="clear" w:pos="9639"/>
          <w:tab w:val="right" w:pos="5954"/>
        </w:tabs>
        <w:spacing w:after="240"/>
        <w:jc w:val="right"/>
        <w:rPr>
          <w:rFonts w:ascii="Calibri" w:hAnsi="Calibri"/>
        </w:rPr>
      </w:pPr>
    </w:p>
    <w:p w14:paraId="171157A2" w14:textId="17F5D898" w:rsidR="00420A38" w:rsidRPr="007A395D" w:rsidRDefault="00420A38" w:rsidP="000049D8">
      <w:pPr>
        <w:pStyle w:val="Header"/>
        <w:tabs>
          <w:tab w:val="clear" w:pos="9639"/>
          <w:tab w:val="right" w:pos="5954"/>
        </w:tabs>
        <w:spacing w:after="240"/>
        <w:jc w:val="right"/>
        <w:rPr>
          <w:rFonts w:ascii="Calibri" w:hAnsi="Calibri"/>
          <w:lang w:eastAsia="ko-KR"/>
        </w:rPr>
      </w:pPr>
      <w:r>
        <w:rPr>
          <w:rFonts w:ascii="Calibri" w:hAnsi="Calibri"/>
        </w:rPr>
        <w:t xml:space="preserve">Input paper: </w:t>
      </w:r>
      <w:r w:rsidR="00C43286" w:rsidRPr="00C43286">
        <w:rPr>
          <w:rFonts w:ascii="Calibri" w:hAnsi="Calibri"/>
          <w:lang w:eastAsia="ko-KR"/>
        </w:rPr>
        <w:t>VTS60-3.2.2</w:t>
      </w:r>
    </w:p>
    <w:p w14:paraId="0F5B8FB6" w14:textId="77777777" w:rsidR="00D019CE" w:rsidRPr="007A395D" w:rsidRDefault="00D019CE" w:rsidP="00FE5674">
      <w:pPr>
        <w:pStyle w:val="BodyText"/>
        <w:tabs>
          <w:tab w:val="left" w:pos="2835"/>
        </w:tabs>
        <w:rPr>
          <w:rFonts w:ascii="Calibri" w:hAnsi="Calibri"/>
        </w:rPr>
      </w:pPr>
    </w:p>
    <w:p w14:paraId="46A4F2E3" w14:textId="77777777" w:rsidR="0080294B" w:rsidRPr="007A395D" w:rsidRDefault="00E558C3" w:rsidP="00FE5674">
      <w:pPr>
        <w:pStyle w:val="BodyText"/>
        <w:tabs>
          <w:tab w:val="left" w:pos="2835"/>
        </w:tabs>
        <w:rPr>
          <w:rFonts w:ascii="Calibri" w:hAnsi="Calibri"/>
        </w:rPr>
      </w:pPr>
      <w:r>
        <w:rPr>
          <w:rFonts w:ascii="Calibri" w:hAnsi="Calibri"/>
        </w:rPr>
        <w:t xml:space="preserve">Input paper for the following Committee(s): </w:t>
      </w:r>
      <w:r>
        <w:rPr>
          <w:rFonts w:ascii="Calibri" w:hAnsi="Calibri"/>
        </w:rPr>
        <w:tab/>
      </w:r>
      <w:r>
        <w:rPr>
          <w:rFonts w:ascii="Calibri" w:hAnsi="Calibri"/>
          <w:sz w:val="18"/>
          <w:szCs w:val="18"/>
        </w:rPr>
        <w:t>check as appropriate</w:t>
      </w:r>
      <w:r>
        <w:rPr>
          <w:rFonts w:ascii="Calibri" w:hAnsi="Calibri"/>
          <w:sz w:val="18"/>
          <w:szCs w:val="18"/>
        </w:rPr>
        <w:tab/>
      </w:r>
      <w:r>
        <w:rPr>
          <w:rFonts w:ascii="Calibri" w:hAnsi="Calibri"/>
        </w:rPr>
        <w:tab/>
        <w:t>Purpose of paper:</w:t>
      </w:r>
    </w:p>
    <w:p w14:paraId="4106CA07" w14:textId="77777777" w:rsidR="0080294B" w:rsidRPr="00C43286" w:rsidRDefault="00394293" w:rsidP="00037DF4">
      <w:pPr>
        <w:pStyle w:val="BodyText"/>
        <w:tabs>
          <w:tab w:val="left" w:pos="1843"/>
        </w:tabs>
        <w:rPr>
          <w:rFonts w:ascii="Calibri" w:hAnsi="Calibri" w:cs="Arial"/>
          <w:b/>
          <w:sz w:val="24"/>
          <w:szCs w:val="24"/>
          <w:lang w:val="sv-SE"/>
        </w:rPr>
      </w:pPr>
      <w:r w:rsidRPr="00C43286">
        <w:rPr>
          <w:rFonts w:ascii="Calibri" w:hAnsi="Calibri" w:cs="Arial"/>
          <w:lang w:val="sv-SE"/>
        </w:rPr>
        <w:t>X</w:t>
      </w:r>
      <w:r w:rsidRPr="00C43286">
        <w:rPr>
          <w:rFonts w:ascii="Calibri" w:hAnsi="Calibri" w:cs="Arial"/>
          <w:sz w:val="24"/>
          <w:szCs w:val="24"/>
          <w:lang w:val="sv-SE"/>
        </w:rPr>
        <w:t xml:space="preserve">  </w:t>
      </w:r>
      <w:r w:rsidRPr="00C43286">
        <w:rPr>
          <w:rFonts w:ascii="Calibri" w:hAnsi="Calibri" w:cs="Arial"/>
          <w:lang w:val="sv-SE"/>
        </w:rPr>
        <w:t>ARM</w:t>
      </w:r>
      <w:r w:rsidRPr="00C43286">
        <w:rPr>
          <w:rFonts w:ascii="Calibri" w:hAnsi="Calibri" w:cs="Arial"/>
          <w:lang w:val="sv-SE"/>
        </w:rPr>
        <w:tab/>
        <w:t>X</w:t>
      </w:r>
      <w:r w:rsidRPr="00C43286">
        <w:rPr>
          <w:rFonts w:ascii="Calibri" w:hAnsi="Calibri" w:cs="Arial"/>
          <w:sz w:val="24"/>
          <w:szCs w:val="24"/>
          <w:lang w:val="sv-SE"/>
        </w:rPr>
        <w:t xml:space="preserve">  </w:t>
      </w:r>
      <w:r w:rsidRPr="00C43286">
        <w:rPr>
          <w:rFonts w:ascii="Calibri" w:hAnsi="Calibri" w:cs="Arial"/>
          <w:lang w:val="sv-SE"/>
        </w:rPr>
        <w:t>ENG</w:t>
      </w:r>
      <w:r w:rsidRPr="00C43286">
        <w:rPr>
          <w:rFonts w:ascii="Calibri" w:hAnsi="Calibri" w:cs="Arial"/>
          <w:lang w:val="sv-SE"/>
        </w:rPr>
        <w:tab/>
      </w:r>
      <w:r w:rsidRPr="00C43286">
        <w:rPr>
          <w:rFonts w:ascii="Calibri" w:hAnsi="Calibri" w:cs="Arial"/>
          <w:lang w:val="sv-SE"/>
        </w:rPr>
        <w:tab/>
        <w:t>X</w:t>
      </w:r>
      <w:r w:rsidRPr="00C43286">
        <w:rPr>
          <w:rFonts w:ascii="Calibri" w:hAnsi="Calibri" w:cs="Arial"/>
          <w:sz w:val="24"/>
          <w:szCs w:val="24"/>
          <w:lang w:val="sv-SE"/>
        </w:rPr>
        <w:t xml:space="preserve">  </w:t>
      </w:r>
      <w:r w:rsidRPr="00C43286">
        <w:rPr>
          <w:rFonts w:ascii="Calibri" w:hAnsi="Calibri" w:cs="Arial"/>
          <w:lang w:val="sv-SE"/>
        </w:rPr>
        <w:t>PAP</w:t>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b/>
          <w:sz w:val="24"/>
          <w:szCs w:val="24"/>
          <w:lang w:val="sv-SE"/>
        </w:rPr>
        <w:t>□</w:t>
      </w:r>
      <w:r w:rsidRPr="00C43286">
        <w:rPr>
          <w:rFonts w:ascii="Calibri" w:hAnsi="Calibri" w:cs="Arial"/>
          <w:sz w:val="24"/>
          <w:szCs w:val="24"/>
          <w:lang w:val="sv-SE"/>
        </w:rPr>
        <w:t xml:space="preserve">  Input</w:t>
      </w:r>
    </w:p>
    <w:p w14:paraId="3C814709" w14:textId="77777777" w:rsidR="0080294B" w:rsidRPr="00C43286" w:rsidRDefault="00394293" w:rsidP="00037DF4">
      <w:pPr>
        <w:pStyle w:val="BodyText"/>
        <w:tabs>
          <w:tab w:val="left" w:pos="1843"/>
        </w:tabs>
        <w:rPr>
          <w:rFonts w:ascii="Calibri" w:hAnsi="Calibri"/>
          <w:lang w:val="sv-SE"/>
        </w:rPr>
      </w:pPr>
      <w:r w:rsidRPr="00C43286">
        <w:rPr>
          <w:rFonts w:ascii="Calibri" w:hAnsi="Calibri" w:cs="Arial"/>
          <w:lang w:val="sv-SE"/>
        </w:rPr>
        <w:t>X</w:t>
      </w:r>
      <w:r w:rsidRPr="00C43286">
        <w:rPr>
          <w:rFonts w:ascii="Calibri" w:hAnsi="Calibri" w:cs="Arial"/>
          <w:sz w:val="24"/>
          <w:szCs w:val="24"/>
          <w:lang w:val="sv-SE"/>
        </w:rPr>
        <w:t xml:space="preserve">  </w:t>
      </w:r>
      <w:r w:rsidRPr="00C43286">
        <w:rPr>
          <w:rFonts w:ascii="Calibri" w:hAnsi="Calibri" w:cs="Arial"/>
          <w:lang w:val="sv-SE"/>
        </w:rPr>
        <w:t>ENAV</w:t>
      </w:r>
      <w:r w:rsidRPr="00C43286">
        <w:rPr>
          <w:rFonts w:ascii="Calibri" w:hAnsi="Calibri" w:cs="Arial"/>
          <w:b/>
          <w:sz w:val="24"/>
          <w:szCs w:val="24"/>
          <w:lang w:val="sv-SE"/>
        </w:rPr>
        <w:tab/>
      </w:r>
      <w:r w:rsidRPr="00C43286">
        <w:rPr>
          <w:rFonts w:ascii="Calibri" w:hAnsi="Calibri" w:cs="Arial"/>
          <w:lang w:val="sv-SE"/>
        </w:rPr>
        <w:t>X</w:t>
      </w:r>
      <w:r w:rsidRPr="00C43286">
        <w:rPr>
          <w:rFonts w:ascii="Calibri" w:hAnsi="Calibri" w:cs="Arial"/>
          <w:sz w:val="24"/>
          <w:szCs w:val="24"/>
          <w:lang w:val="sv-SE"/>
        </w:rPr>
        <w:t xml:space="preserve">  </w:t>
      </w:r>
      <w:r w:rsidRPr="00C43286">
        <w:rPr>
          <w:rFonts w:ascii="Calibri" w:hAnsi="Calibri" w:cs="Arial"/>
          <w:lang w:val="sv-SE"/>
        </w:rPr>
        <w:t>VTS</w:t>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sz w:val="24"/>
          <w:szCs w:val="24"/>
          <w:lang w:val="sv-SE"/>
        </w:rPr>
        <w:tab/>
      </w:r>
      <w:r w:rsidRPr="00C43286">
        <w:rPr>
          <w:rFonts w:ascii="Calibri" w:hAnsi="Calibri" w:cs="Arial"/>
          <w:lang w:val="sv-SE"/>
        </w:rPr>
        <w:t>X</w:t>
      </w:r>
      <w:r w:rsidRPr="00C43286">
        <w:rPr>
          <w:rFonts w:ascii="Calibri" w:hAnsi="Calibri" w:cs="Arial"/>
          <w:sz w:val="24"/>
          <w:szCs w:val="24"/>
          <w:lang w:val="sv-SE"/>
        </w:rPr>
        <w:t xml:space="preserve">  Information</w:t>
      </w:r>
    </w:p>
    <w:p w14:paraId="468EEB9A" w14:textId="77777777" w:rsidR="0080294B" w:rsidRPr="00C43286" w:rsidRDefault="0080294B" w:rsidP="00FE5674">
      <w:pPr>
        <w:pStyle w:val="BodyText"/>
        <w:tabs>
          <w:tab w:val="left" w:pos="2835"/>
        </w:tabs>
        <w:rPr>
          <w:rFonts w:ascii="Calibri" w:hAnsi="Calibri"/>
          <w:lang w:val="sv-SE"/>
        </w:rPr>
      </w:pPr>
    </w:p>
    <w:p w14:paraId="73F149C9" w14:textId="5EF326FA" w:rsidR="00A446C9" w:rsidRPr="007A395D" w:rsidRDefault="00A446C9" w:rsidP="00FE5674">
      <w:pPr>
        <w:pStyle w:val="BodyText"/>
        <w:tabs>
          <w:tab w:val="left" w:pos="2835"/>
        </w:tabs>
        <w:rPr>
          <w:rFonts w:ascii="Calibri" w:hAnsi="Calibri"/>
        </w:rPr>
      </w:pPr>
      <w:r>
        <w:rPr>
          <w:rFonts w:ascii="Calibri" w:hAnsi="Calibri"/>
        </w:rPr>
        <w:t>Agenda item</w:t>
      </w:r>
      <w:r>
        <w:rPr>
          <w:rFonts w:ascii="Calibri" w:hAnsi="Calibri"/>
        </w:rPr>
        <w:tab/>
      </w:r>
      <w:r>
        <w:rPr>
          <w:rFonts w:ascii="Calibri" w:hAnsi="Calibri"/>
        </w:rPr>
        <w:tab/>
      </w:r>
      <w:r>
        <w:rPr>
          <w:rFonts w:ascii="Calibri" w:hAnsi="Calibri"/>
        </w:rPr>
        <w:tab/>
      </w:r>
      <w:r w:rsidR="00C22776">
        <w:rPr>
          <w:rFonts w:ascii="Calibri" w:hAnsi="Calibri"/>
        </w:rPr>
        <w:t>3.2</w:t>
      </w:r>
    </w:p>
    <w:p w14:paraId="0AA891DE" w14:textId="77777777" w:rsidR="00A446C9" w:rsidRPr="007A395D" w:rsidRDefault="0080294B" w:rsidP="00FE5674">
      <w:pPr>
        <w:pStyle w:val="BodyText"/>
        <w:tabs>
          <w:tab w:val="left" w:pos="2835"/>
        </w:tabs>
        <w:rPr>
          <w:rFonts w:ascii="Calibri" w:hAnsi="Calibri"/>
        </w:rPr>
      </w:pPr>
      <w:r>
        <w:rPr>
          <w:rFonts w:ascii="Calibri" w:hAnsi="Calibri"/>
        </w:rPr>
        <w:t>Technical Domain / Task Number</w:t>
      </w:r>
      <w:r>
        <w:rPr>
          <w:rFonts w:ascii="Calibri" w:hAnsi="Calibri"/>
        </w:rPr>
        <w:tab/>
      </w:r>
    </w:p>
    <w:p w14:paraId="7FF0B036" w14:textId="77777777" w:rsidR="00362CD9" w:rsidRPr="007A395D" w:rsidRDefault="00362CD9" w:rsidP="00FE5674">
      <w:pPr>
        <w:pStyle w:val="BodyText"/>
        <w:tabs>
          <w:tab w:val="left" w:pos="2835"/>
        </w:tabs>
        <w:rPr>
          <w:rFonts w:ascii="Calibri" w:hAnsi="Calibri"/>
          <w:color w:val="FF0000"/>
        </w:rPr>
      </w:pPr>
      <w:r>
        <w:rPr>
          <w:rFonts w:ascii="Calibri" w:hAnsi="Calibri"/>
        </w:rPr>
        <w:t>Author(s) / Submitter(s)</w:t>
      </w:r>
      <w:r>
        <w:rPr>
          <w:rFonts w:ascii="Calibri" w:hAnsi="Calibri"/>
        </w:rPr>
        <w:tab/>
      </w:r>
      <w:r>
        <w:rPr>
          <w:rFonts w:ascii="Calibri" w:hAnsi="Calibri"/>
        </w:rPr>
        <w:tab/>
      </w:r>
      <w:r>
        <w:rPr>
          <w:rFonts w:ascii="Calibri" w:hAnsi="Calibri"/>
        </w:rPr>
        <w:tab/>
        <w:t>Secretariat</w:t>
      </w:r>
    </w:p>
    <w:p w14:paraId="4FA4FB28" w14:textId="77777777" w:rsidR="00A446C9" w:rsidRPr="00605E43" w:rsidRDefault="00394293" w:rsidP="00A446C9">
      <w:pPr>
        <w:pStyle w:val="Title"/>
        <w:rPr>
          <w:rFonts w:ascii="Calibri" w:hAnsi="Calibri"/>
          <w:color w:val="0070C0"/>
          <w:lang w:eastAsia="ko-KR"/>
        </w:rPr>
      </w:pPr>
      <w:r>
        <w:rPr>
          <w:rFonts w:ascii="Calibri" w:hAnsi="Calibri"/>
          <w:color w:val="0070C0"/>
        </w:rPr>
        <w:t>Report on IMO NCSR 13</w:t>
      </w:r>
    </w:p>
    <w:p w14:paraId="07440AF8" w14:textId="77777777" w:rsidR="00A446C9" w:rsidRPr="00605E43" w:rsidRDefault="00394293" w:rsidP="00605E43">
      <w:pPr>
        <w:pStyle w:val="Heading1"/>
      </w:pPr>
      <w:r>
        <w:t>Introduction</w:t>
      </w:r>
    </w:p>
    <w:p w14:paraId="586592FA" w14:textId="563C14D3" w:rsidR="003351E0" w:rsidRDefault="003351E0" w:rsidP="003351E0">
      <w:pPr>
        <w:pStyle w:val="BodyText"/>
        <w:rPr>
          <w:rFonts w:ascii="Calibri" w:hAnsi="Calibri"/>
          <w:lang w:eastAsia="ko-KR"/>
        </w:rPr>
      </w:pPr>
      <w:r>
        <w:rPr>
          <w:rFonts w:ascii="Calibri" w:hAnsi="Calibri"/>
          <w:lang w:eastAsia="ko-KR"/>
        </w:rPr>
        <w:t xml:space="preserve">This report summarises matters of interest to IALA arising from </w:t>
      </w:r>
      <w:r w:rsidR="00B8412B">
        <w:rPr>
          <w:rFonts w:ascii="Calibri" w:hAnsi="Calibri" w:hint="eastAsia"/>
          <w:lang w:eastAsia="ko-KR"/>
        </w:rPr>
        <w:t xml:space="preserve">IMO </w:t>
      </w:r>
      <w:r>
        <w:rPr>
          <w:rFonts w:ascii="Calibri" w:hAnsi="Calibri"/>
          <w:lang w:eastAsia="ko-KR"/>
        </w:rPr>
        <w:t>NCSR 13, held from 22 to 26 June 2026 at IMO Headquarters in London. The session was chaired by Mr. J. Brouwers (Kingdom of the Netherlands), with Mr. M. L. Malschitzky (Brazil) serving as Vice-Chair. The Sub-Committee conducted its work in plenary and through three working groups (WG 1, WG 2 and WG 3) and an Experts Group on Ships’ Routeing.</w:t>
      </w:r>
    </w:p>
    <w:p w14:paraId="4BC45437" w14:textId="1083ADD9" w:rsidR="003351E0" w:rsidRDefault="003351E0" w:rsidP="003351E0">
      <w:pPr>
        <w:pStyle w:val="BodyText"/>
        <w:rPr>
          <w:rFonts w:ascii="Calibri" w:hAnsi="Calibri"/>
          <w:lang w:eastAsia="ko-KR"/>
        </w:rPr>
      </w:pPr>
      <w:r>
        <w:rPr>
          <w:rFonts w:ascii="Calibri" w:hAnsi="Calibri"/>
          <w:lang w:eastAsia="ko-KR"/>
        </w:rPr>
        <w:t>IALA submitted document NCSR 13/9/1, recommending the use of SECOM and the Maritime Connectivity Platform (MCP) within the global IP-based S-100 connectivity framework, together with information documents NCSR 13/INF.2 (IMT for marine aids to navigation), NCSR 13/INF.20 (operation of an IALA MCP instance) and NCSR 13/INF.21 (future radionavigation and radiocommunication systems).</w:t>
      </w:r>
    </w:p>
    <w:p w14:paraId="45DFA230" w14:textId="77777777" w:rsidR="007206B0" w:rsidRPr="007206B0" w:rsidRDefault="007206B0" w:rsidP="009607A3">
      <w:pPr>
        <w:pStyle w:val="Heading1"/>
      </w:pPr>
      <w:r>
        <w:t>Outcomes of the meeting</w:t>
      </w:r>
    </w:p>
    <w:p w14:paraId="2F5DEDF8" w14:textId="7D5AD0C0" w:rsidR="00AB0D21" w:rsidRPr="00B8412B" w:rsidRDefault="003C18C4">
      <w:pPr>
        <w:pStyle w:val="BodyText"/>
        <w:rPr>
          <w:rFonts w:asciiTheme="minorHAnsi" w:hAnsiTheme="minorHAnsi" w:cstheme="minorHAnsi"/>
        </w:rPr>
      </w:pPr>
      <w:r w:rsidRPr="00B8412B">
        <w:rPr>
          <w:rFonts w:asciiTheme="minorHAnsi" w:hAnsiTheme="minorHAnsi" w:cstheme="minorHAnsi"/>
          <w:b/>
        </w:rPr>
        <w:t xml:space="preserve">S-100 data distribution framework, SECOM and the Maritime Connectivity Platform </w:t>
      </w:r>
    </w:p>
    <w:p w14:paraId="417F1777" w14:textId="69867A72" w:rsidR="00AB0D21" w:rsidRPr="00B8412B" w:rsidRDefault="003C18C4">
      <w:pPr>
        <w:pStyle w:val="BodyText"/>
        <w:rPr>
          <w:rFonts w:ascii="Calibri" w:hAnsi="Calibri"/>
          <w:lang w:eastAsia="ko-KR"/>
        </w:rPr>
      </w:pPr>
      <w:r w:rsidRPr="00B8412B">
        <w:rPr>
          <w:rFonts w:ascii="Calibri" w:hAnsi="Calibri"/>
          <w:lang w:eastAsia="ko-KR"/>
        </w:rPr>
        <w:t>Building on the report of the Correspondence Group on Establishment of an S-100 Framework (NCSR 13/9, Australia), the Sub-Committee finalized two draft MSC circulars: one on guidance to establish a framework for data distribution and global IP-based connectivity between shore-based facilities and ships supporting ECDIS S-100 products, and one on operational guidance for digital route exchange. Both are to be submitted to MSC 112. It agreed that guidance on route exchange should remain voluntary and should not conflict with the conduct of pilotage.</w:t>
      </w:r>
    </w:p>
    <w:p w14:paraId="43B3F7F0" w14:textId="57B85BC9" w:rsidR="00AB0D21" w:rsidRPr="00B8412B" w:rsidRDefault="003C18C4">
      <w:pPr>
        <w:pStyle w:val="BodyText"/>
        <w:rPr>
          <w:rFonts w:ascii="Calibri" w:hAnsi="Calibri"/>
          <w:lang w:eastAsia="ko-KR"/>
        </w:rPr>
      </w:pPr>
      <w:r w:rsidRPr="00B8412B">
        <w:rPr>
          <w:rFonts w:ascii="Calibri" w:hAnsi="Calibri"/>
          <w:lang w:eastAsia="ko-KR"/>
        </w:rPr>
        <w:t xml:space="preserve">IALA’s submission (NCSR 13/9/1), recommending SECOM (IEC 63173-2) and the MCP as the reference technological solution for secure communication, identity, trust and service discovery within the framework, was supported. SECOM and the MCP are cited in the finalized guidance as examples of suitable solutions, while the framework is to remain technologically neutral. </w:t>
      </w:r>
    </w:p>
    <w:p w14:paraId="6A3B8581" w14:textId="77777777" w:rsidR="00AB0D21" w:rsidRPr="00B8412B" w:rsidRDefault="003C18C4">
      <w:pPr>
        <w:pStyle w:val="BodyText"/>
        <w:rPr>
          <w:rFonts w:ascii="Calibri" w:hAnsi="Calibri"/>
          <w:lang w:eastAsia="ko-KR"/>
        </w:rPr>
      </w:pPr>
      <w:r w:rsidRPr="00B8412B">
        <w:rPr>
          <w:rFonts w:ascii="Calibri" w:hAnsi="Calibri"/>
          <w:lang w:eastAsia="ko-KR"/>
        </w:rPr>
        <w:t>The Sub-Committee emphasized the need for end-to-end testing and trials of the IP-based connectivity framework prior to implementation, recommending use of the existing IHO HSSC coordination mechanism to avoid duplication of effort, and supported capacity-building to strengthen Member States’ readiness. Recognizing that further implementation issues remain to be addressed under a new output, it invited interested Member States and organizations to submit a proposal to the Committee; Australia and Sweden will coordinate an informal correspondence group to prepare such a proposal for MSC 112.</w:t>
      </w:r>
    </w:p>
    <w:p w14:paraId="087DA578" w14:textId="1A384FD1"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IMO position on ITU WRC-27 </w:t>
      </w:r>
    </w:p>
    <w:p w14:paraId="5741ACE2" w14:textId="0C978336" w:rsidR="00AB0D21" w:rsidRPr="00B8412B" w:rsidRDefault="00BE38E8">
      <w:pPr>
        <w:pStyle w:val="BodyText"/>
        <w:rPr>
          <w:rFonts w:ascii="Calibri" w:hAnsi="Calibri"/>
          <w:lang w:eastAsia="ko-KR"/>
        </w:rPr>
      </w:pPr>
      <w:r>
        <w:rPr>
          <w:rFonts w:ascii="Calibri" w:hAnsi="Calibri"/>
          <w:lang w:eastAsia="ko-KR"/>
        </w:rPr>
        <w:t xml:space="preserve">NCSR 13 </w:t>
      </w:r>
      <w:r w:rsidR="003C18C4" w:rsidRPr="00B8412B">
        <w:rPr>
          <w:rFonts w:ascii="Calibri" w:hAnsi="Calibri"/>
          <w:lang w:eastAsia="ko-KR"/>
        </w:rPr>
        <w:t xml:space="preserve">finalized the draft IMO position on the maritime-related WRC-27 agenda items (1.5, 1.16 and 10), reaffirming that any change to the Radio Regulations that could impose additional constraints on, or </w:t>
      </w:r>
      <w:r w:rsidR="003C18C4" w:rsidRPr="00B8412B">
        <w:rPr>
          <w:rFonts w:ascii="Calibri" w:hAnsi="Calibri"/>
          <w:lang w:eastAsia="ko-KR"/>
        </w:rPr>
        <w:lastRenderedPageBreak/>
        <w:t>negatively affect the continuity of, GMDSS and safety-of-life services is not supported by IMO. For agenda item 1.5, possible adverse effects on non-GSO systems, in particular Iridium (a GMDSS-recognized mobile-satellite service), were recognized. For agenda item 1.16 (protection of the radio astronomy service), the Group agreed not to include an IMO position at this stage, deferring the matter to NCSR 14 pending the outcome of CPM 27-2 (5–15 April 2027). For agenda item 10,</w:t>
      </w:r>
      <w:r w:rsidR="00634401" w:rsidRPr="00634401">
        <w:t xml:space="preserve"> </w:t>
      </w:r>
      <w:r w:rsidR="00634401" w:rsidRPr="00634401">
        <w:rPr>
          <w:rFonts w:ascii="Calibri" w:hAnsi="Calibri"/>
          <w:lang w:eastAsia="ko-KR"/>
        </w:rPr>
        <w:t>IMO supports the inclusion of the issue of improving the utilization of VHF maritime radiocommunication in the agenda of WRC-31 with regard to the introduction of digital voice and data technologies, including new allocations for implementation of R-Mode, in the VHF maritime mobile band and ACS in the MF and HF frequency bands.</w:t>
      </w:r>
      <w:r w:rsidR="003C18C4" w:rsidRPr="00B8412B">
        <w:rPr>
          <w:rFonts w:ascii="Calibri" w:hAnsi="Calibri"/>
          <w:lang w:eastAsia="ko-KR"/>
        </w:rPr>
        <w:t xml:space="preserve"> </w:t>
      </w:r>
      <w:r w:rsidR="00634401">
        <w:rPr>
          <w:rFonts w:ascii="Calibri" w:hAnsi="Calibri"/>
          <w:lang w:eastAsia="ko-KR"/>
        </w:rPr>
        <w:t xml:space="preserve">Further </w:t>
      </w:r>
      <w:r w:rsidR="003C18C4" w:rsidRPr="00B8412B">
        <w:rPr>
          <w:rFonts w:ascii="Calibri" w:hAnsi="Calibri"/>
          <w:lang w:eastAsia="ko-KR"/>
        </w:rPr>
        <w:t>it recommended further developing the position to include a candidate WRC-35 agenda item on MASS implementation.</w:t>
      </w:r>
    </w:p>
    <w:p w14:paraId="0D922E19" w14:textId="77777777" w:rsidR="00AB0D21" w:rsidRPr="00B8412B" w:rsidRDefault="003C18C4">
      <w:pPr>
        <w:pStyle w:val="BodyText"/>
        <w:rPr>
          <w:rFonts w:ascii="Calibri" w:hAnsi="Calibri"/>
          <w:lang w:eastAsia="ko-KR"/>
        </w:rPr>
      </w:pPr>
      <w:r w:rsidRPr="00B8412B">
        <w:rPr>
          <w:rFonts w:ascii="Calibri" w:hAnsi="Calibri"/>
          <w:lang w:eastAsia="ko-KR"/>
        </w:rPr>
        <w:t>The draft IMO position is to be submitted to MSC 112 for approval and onward submission to ITU’s CPM 27-2, with the final position to be prepared by NCSR 14 and submitted, as an urgent matter, to MSC 113 for approval and submission to WRC-27. The Sub-Committee agreed to hold the twenty-second meeting of the Joint IMO/ITU Experts Group on Maritime Radiocommunication Matters from 28 September to 1 October 2026 at IMO Headquarters.</w:t>
      </w:r>
    </w:p>
    <w:p w14:paraId="3BFF4050" w14:textId="2B916970"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Transition scheme for digital VHF voice communications </w:t>
      </w:r>
    </w:p>
    <w:p w14:paraId="4A52FEA0" w14:textId="478449DA" w:rsidR="00AB0D21" w:rsidRDefault="003C18C4">
      <w:pPr>
        <w:pStyle w:val="BodyText"/>
        <w:rPr>
          <w:rFonts w:ascii="Calibri" w:hAnsi="Calibri"/>
          <w:lang w:eastAsia="ko-KR"/>
        </w:rPr>
      </w:pPr>
      <w:r w:rsidRPr="00B8412B">
        <w:rPr>
          <w:rFonts w:ascii="Calibri" w:hAnsi="Calibri"/>
          <w:lang w:eastAsia="ko-KR"/>
        </w:rPr>
        <w:t>The Sub-Committee finalized</w:t>
      </w:r>
      <w:r w:rsidR="006720FF">
        <w:rPr>
          <w:rFonts w:ascii="Calibri" w:hAnsi="Calibri" w:hint="eastAsia"/>
          <w:lang w:eastAsia="ko-KR"/>
        </w:rPr>
        <w:t xml:space="preserve"> </w:t>
      </w:r>
      <w:r w:rsidRPr="00B8412B">
        <w:rPr>
          <w:rFonts w:ascii="Calibri" w:hAnsi="Calibri"/>
          <w:lang w:eastAsia="ko-KR"/>
        </w:rPr>
        <w:t>a draft MSC circular on a transition scheme for the introduction of digital technology for VHF voice communications, for submission to MSC 112 (completion of output 2.5 recommended). Agreed key principles include: retaining the existing analogue VHF channels 06, 13, 16, 75 and 76 and the assignments of channel 70 (DSC) and AIS 1/AIS 2 to ensure continuity of GMDSS distress, urgency and safety communications; identifying additional digital VHF channels within RR Appendix 18 in the existing maritime mobile bands; and minimizing the financial burden on ships and shore authorities. A liaison statement was prepared for ITU-R WP 5B. The Sub-Committee noted Japan’s field-trial results (NCSR 13/INF.16) and acknowledged that further work on VHF digitalization will be required in connection with WRC-27 and WRC-31.</w:t>
      </w:r>
    </w:p>
    <w:p w14:paraId="6CFF177D" w14:textId="5C3E6CED"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Performance standards for shipborne R-mode receiver equipment </w:t>
      </w:r>
    </w:p>
    <w:p w14:paraId="11350EAC" w14:textId="3F42D301" w:rsidR="00AB0D21" w:rsidRPr="00B8412B" w:rsidRDefault="00BE38E8">
      <w:pPr>
        <w:pStyle w:val="BodyText"/>
        <w:rPr>
          <w:rFonts w:ascii="Calibri" w:hAnsi="Calibri"/>
          <w:lang w:eastAsia="ko-KR"/>
        </w:rPr>
      </w:pPr>
      <w:r>
        <w:rPr>
          <w:rFonts w:ascii="Calibri" w:hAnsi="Calibri"/>
          <w:lang w:eastAsia="ko-KR"/>
        </w:rPr>
        <w:t xml:space="preserve">NCSR 13 </w:t>
      </w:r>
      <w:r w:rsidR="003C18C4" w:rsidRPr="00B8412B">
        <w:rPr>
          <w:rFonts w:ascii="Calibri" w:hAnsi="Calibri"/>
          <w:lang w:eastAsia="ko-KR"/>
        </w:rPr>
        <w:t xml:space="preserve">finalized a draft MSC resolution on performance standards for shipborne ranging-mode (R-mode) receiver equipment, for adoption by the Committee. R-mode is treated as a terrestrial radionavigation system providing resilient PNT independent of GNSS, with signals carried on MF (283.5–325 kHz) and on VHF as part of VDES. The Sub-Committee agreed that R-mode should be regarded as a backup supplementary to GNSS and that recognition by the Organization is not required. </w:t>
      </w:r>
      <w:r w:rsidR="00AB5904" w:rsidRPr="00AB5904">
        <w:rPr>
          <w:rFonts w:ascii="Calibri" w:hAnsi="Calibri"/>
          <w:lang w:eastAsia="ko-KR"/>
        </w:rPr>
        <w:t>During the discussions, Member States generally agreed that R-mode should remain a voluntary terrestrial backup system designed to enhance the resilience of Positioning, Navigation and Timing (PNT), rather than replace GNSS. The Sub-Committee also agreed that any future performance standards should remain technology-neutral and that further consideration of amendments to resolution A.1046(27) would be premature until wider work on resilient terrestrial radionavigation systems has progressed.</w:t>
      </w:r>
      <w:r w:rsidR="00AB5904">
        <w:rPr>
          <w:rFonts w:ascii="Calibri" w:hAnsi="Calibri"/>
          <w:lang w:eastAsia="ko-KR"/>
        </w:rPr>
        <w:t xml:space="preserve"> </w:t>
      </w:r>
      <w:r w:rsidR="003C18C4" w:rsidRPr="00B8412B">
        <w:rPr>
          <w:rFonts w:ascii="Calibri" w:hAnsi="Calibri"/>
          <w:lang w:eastAsia="ko-KR"/>
        </w:rPr>
        <w:t>Proposed amendments to resolution A.1046(27) (as amended by MSC.599(111)) to accommodate R-mode were considered premature, and interested Member States were invited to submit a new output, noting a majority view that terrestrial backup systems should be addressed more broadly. The Sub-Committee noted IALA’s information paper on its workshop on future radionavigation and radiocommunication systems (NCSR 13/INF.21).</w:t>
      </w:r>
    </w:p>
    <w:p w14:paraId="3B80A47E" w14:textId="37BD7A26" w:rsidR="00AB0D21" w:rsidRPr="00B8412B" w:rsidRDefault="003C18C4">
      <w:pPr>
        <w:pStyle w:val="BodyText"/>
        <w:rPr>
          <w:rFonts w:asciiTheme="minorHAnsi" w:hAnsiTheme="minorHAnsi" w:cstheme="minorHAnsi"/>
          <w:b/>
        </w:rPr>
      </w:pPr>
      <w:r w:rsidRPr="00B8412B">
        <w:rPr>
          <w:rFonts w:asciiTheme="minorHAnsi" w:hAnsiTheme="minorHAnsi" w:cstheme="minorHAnsi"/>
          <w:b/>
        </w:rPr>
        <w:t xml:space="preserve">Performance standards for DFMC SBAS and ARAIM </w:t>
      </w:r>
    </w:p>
    <w:p w14:paraId="51333E9A" w14:textId="21A84642" w:rsidR="00AB0D21" w:rsidRPr="00B8412B" w:rsidRDefault="003C18C4">
      <w:pPr>
        <w:pStyle w:val="BodyText"/>
        <w:rPr>
          <w:rFonts w:ascii="Calibri" w:hAnsi="Calibri"/>
          <w:lang w:eastAsia="ko-KR"/>
        </w:rPr>
      </w:pPr>
      <w:r w:rsidRPr="00B8412B">
        <w:rPr>
          <w:rFonts w:ascii="Calibri" w:hAnsi="Calibri"/>
          <w:lang w:eastAsia="ko-KR"/>
        </w:rPr>
        <w:t xml:space="preserve">The Sub-Committee progressed the development of performance standards for dual-frequency multi-constellation satellite-based augmentation systems (DFMC SBAS) and advanced receiver autonomous integrity monitoring (ARAIM) in shipborne radionavigation receivers, agreeing initial definitions and the principles of technology neutrality, interoperability, scalability, adaptability and a risk-based methodology. </w:t>
      </w:r>
      <w:r w:rsidR="00882B87" w:rsidRPr="00882B87">
        <w:rPr>
          <w:rFonts w:ascii="Calibri" w:hAnsi="Calibri"/>
          <w:lang w:eastAsia="ko-KR"/>
        </w:rPr>
        <w:t xml:space="preserve">The Sub-Committee emphasized that the future performance standards should be compatible with all </w:t>
      </w:r>
      <w:r w:rsidR="00882B87">
        <w:rPr>
          <w:rFonts w:ascii="Calibri" w:hAnsi="Calibri"/>
          <w:lang w:eastAsia="ko-KR"/>
        </w:rPr>
        <w:t>recognized</w:t>
      </w:r>
      <w:r w:rsidR="00882B87" w:rsidRPr="00882B87">
        <w:rPr>
          <w:rFonts w:ascii="Calibri" w:hAnsi="Calibri"/>
          <w:lang w:eastAsia="ko-KR"/>
        </w:rPr>
        <w:t xml:space="preserve"> satellite navigation systems forming part of the Worldwide Radionavigation System, while taking into account the operational needs of the maritime sector and the capabilities of developing countries.</w:t>
      </w:r>
      <w:r w:rsidR="00882B87">
        <w:rPr>
          <w:rFonts w:ascii="Calibri" w:hAnsi="Calibri"/>
          <w:lang w:eastAsia="ko-KR"/>
        </w:rPr>
        <w:t xml:space="preserve"> </w:t>
      </w:r>
      <w:r w:rsidRPr="00B8412B">
        <w:rPr>
          <w:rFonts w:ascii="Calibri" w:hAnsi="Calibri"/>
          <w:lang w:eastAsia="ko-KR"/>
        </w:rPr>
        <w:t>The Correspondence Group, coordinated by Australia, was re-established to finalize the goal-based, technology-neutral draft standards and report to NCSR 14.</w:t>
      </w:r>
    </w:p>
    <w:p w14:paraId="35F58911" w14:textId="17EB44DC" w:rsidR="00AB0D21" w:rsidRPr="00B8412B" w:rsidRDefault="003C18C4">
      <w:pPr>
        <w:pStyle w:val="BodyText"/>
        <w:rPr>
          <w:rFonts w:asciiTheme="minorHAnsi" w:hAnsiTheme="minorHAnsi" w:cstheme="minorHAnsi"/>
          <w:b/>
        </w:rPr>
      </w:pPr>
      <w:r w:rsidRPr="00B8412B">
        <w:rPr>
          <w:rFonts w:asciiTheme="minorHAnsi" w:hAnsiTheme="minorHAnsi" w:cstheme="minorHAnsi"/>
          <w:b/>
        </w:rPr>
        <w:t>NAVDAT and GMDSS maritime safety information</w:t>
      </w:r>
    </w:p>
    <w:p w14:paraId="279812F7" w14:textId="01A599F2" w:rsidR="00AB0D21" w:rsidRPr="00B8412B" w:rsidRDefault="00BE38E8">
      <w:pPr>
        <w:pStyle w:val="BodyText"/>
        <w:rPr>
          <w:rFonts w:ascii="Calibri" w:hAnsi="Calibri"/>
          <w:lang w:eastAsia="ko-KR"/>
        </w:rPr>
      </w:pPr>
      <w:r>
        <w:rPr>
          <w:rFonts w:ascii="Calibri" w:hAnsi="Calibri"/>
          <w:lang w:eastAsia="ko-KR"/>
        </w:rPr>
        <w:lastRenderedPageBreak/>
        <w:t>NCSR13</w:t>
      </w:r>
      <w:r w:rsidR="003C18C4" w:rsidRPr="00B8412B">
        <w:rPr>
          <w:rFonts w:ascii="Calibri" w:hAnsi="Calibri"/>
          <w:lang w:eastAsia="ko-KR"/>
        </w:rPr>
        <w:t xml:space="preserve"> updated the road map for the introduction of the NAVDAT service (maintained as a living document) and endorsed consequential modifications to the NAVDAT Manual</w:t>
      </w:r>
      <w:r w:rsidR="00882B87">
        <w:rPr>
          <w:rFonts w:ascii="Calibri" w:hAnsi="Calibri"/>
          <w:lang w:eastAsia="ko-KR"/>
        </w:rPr>
        <w:t>,</w:t>
      </w:r>
      <w:r w:rsidR="003C18C4" w:rsidRPr="00B8412B">
        <w:rPr>
          <w:rFonts w:ascii="Calibri" w:hAnsi="Calibri"/>
          <w:lang w:eastAsia="ko-KR"/>
        </w:rPr>
        <w:t xml:space="preserve"> aligning it with the ongoing revisions of the relevant ITU-R Recommendations. In the GMDSS context — following the MSC 111 adoption of SOLAS amendments for GMDSS modernization and the introduction of VDES — it encouraged migration of MSI services to Inmarsat SafetyNET II and progress on the Iridium SafetyCast service (full MSI dissemination through all recognized mobile-satellite services by 31 December 2026), and noted the need for impartial capacity-building for future NAVDAT service providers.</w:t>
      </w:r>
    </w:p>
    <w:p w14:paraId="101C53A4" w14:textId="6D26BF87" w:rsidR="00AB0D21" w:rsidRDefault="003C18C4">
      <w:pPr>
        <w:pStyle w:val="BodyText"/>
      </w:pPr>
      <w:r w:rsidRPr="00B8412B">
        <w:rPr>
          <w:rFonts w:asciiTheme="minorHAnsi" w:hAnsiTheme="minorHAnsi" w:cstheme="minorHAnsi"/>
          <w:b/>
        </w:rPr>
        <w:t xml:space="preserve">S-100 implementation, IEC standards and navigational symbols </w:t>
      </w:r>
    </w:p>
    <w:p w14:paraId="29C1801D" w14:textId="490F7E74" w:rsidR="00AB0D21" w:rsidRDefault="00BE38E8">
      <w:pPr>
        <w:pStyle w:val="BodyText"/>
        <w:rPr>
          <w:rFonts w:ascii="Calibri" w:hAnsi="Calibri"/>
          <w:lang w:eastAsia="ko-KR"/>
        </w:rPr>
      </w:pPr>
      <w:r>
        <w:rPr>
          <w:rFonts w:ascii="Calibri" w:hAnsi="Calibri"/>
          <w:lang w:eastAsia="ko-KR"/>
        </w:rPr>
        <w:t>NCSR 13</w:t>
      </w:r>
      <w:r w:rsidR="003C18C4" w:rsidRPr="00B8412B">
        <w:rPr>
          <w:rFonts w:ascii="Calibri" w:hAnsi="Calibri"/>
          <w:lang w:eastAsia="ko-KR"/>
        </w:rPr>
        <w:t xml:space="preserve"> noted IHO’s progress on the S-100 Universal Hydrographic Data Model (NCSR 13/17/4) and encouraged Member States to develop S-100 data-set production and dissemination strategies in line with the implementation dates in resolution MSC.530(106)/Rev.1, and noted IEC TC80 standards development (NCSR 13/17/1). On the proposed update of SN.1/Circ.243/Rev.2 (presentation of navigational symbols, terms and abbreviations) to reflect IEC 62288, both Working Group 2 and plenary concluded that the work did not constitute a minor correction — given the impact on type approval of navigational displays and on resolutions MSC.466(101) and MSC.191(79) — and invited a proposal for a new output.</w:t>
      </w:r>
    </w:p>
    <w:p w14:paraId="43EC9750" w14:textId="77777777" w:rsidR="00CA06CD" w:rsidRPr="0072572C" w:rsidRDefault="00CA06CD" w:rsidP="00CA06CD">
      <w:pPr>
        <w:pStyle w:val="BodyText"/>
        <w:rPr>
          <w:rFonts w:ascii="Calibri" w:hAnsi="Calibri"/>
          <w:b/>
          <w:bCs/>
          <w:lang w:eastAsia="ko-KR"/>
        </w:rPr>
      </w:pPr>
      <w:r w:rsidRPr="0072572C">
        <w:rPr>
          <w:rFonts w:ascii="Calibri" w:hAnsi="Calibri"/>
          <w:b/>
          <w:bCs/>
          <w:lang w:eastAsia="ko-KR"/>
        </w:rPr>
        <w:t>e</w:t>
      </w:r>
      <w:r w:rsidRPr="0072572C">
        <w:rPr>
          <w:rFonts w:ascii="Cambria Math" w:hAnsi="Cambria Math" w:cs="Cambria Math"/>
          <w:b/>
          <w:bCs/>
          <w:lang w:eastAsia="ko-KR"/>
        </w:rPr>
        <w:t>‑</w:t>
      </w:r>
      <w:r w:rsidRPr="0072572C">
        <w:rPr>
          <w:rFonts w:ascii="Calibri" w:hAnsi="Calibri"/>
          <w:b/>
          <w:bCs/>
          <w:lang w:eastAsia="ko-KR"/>
        </w:rPr>
        <w:t>Loran</w:t>
      </w:r>
    </w:p>
    <w:p w14:paraId="6675B905" w14:textId="77777777" w:rsidR="00CA06CD" w:rsidRPr="00CA06CD" w:rsidRDefault="00CA06CD" w:rsidP="00CA06CD">
      <w:pPr>
        <w:pStyle w:val="BodyText"/>
        <w:rPr>
          <w:rFonts w:ascii="Calibri" w:hAnsi="Calibri"/>
          <w:lang w:eastAsia="ko-KR"/>
        </w:rPr>
      </w:pPr>
      <w:r w:rsidRPr="00CA06CD">
        <w:rPr>
          <w:rFonts w:ascii="Calibri" w:hAnsi="Calibri"/>
          <w:lang w:eastAsia="ko-KR"/>
        </w:rPr>
        <w:t>A presentation on e</w:t>
      </w:r>
      <w:r w:rsidRPr="00CA06CD">
        <w:rPr>
          <w:rFonts w:ascii="Cambria Math" w:hAnsi="Cambria Math" w:cs="Cambria Math"/>
          <w:lang w:eastAsia="ko-KR"/>
        </w:rPr>
        <w:t>‑</w:t>
      </w:r>
      <w:r w:rsidRPr="00CA06CD">
        <w:rPr>
          <w:rFonts w:ascii="Calibri" w:hAnsi="Calibri"/>
          <w:lang w:eastAsia="ko-KR"/>
        </w:rPr>
        <w:t>Loran was delivered by representatives of the United Kingdom, including the UK Maritime and Coastguard Agency (MCA), the Ministry of Defence (MoD), and the General Lighthouse Authorities (GLAs). The presenters highlighted the demonstrated vulnerabilities of Global Navigation Satellite Systems (GNSS) and emphasised the importance of resilient, terrestrial radionavigation systems as a complementary backup.</w:t>
      </w:r>
    </w:p>
    <w:p w14:paraId="7C254958" w14:textId="3E444376" w:rsidR="00B666F2" w:rsidRPr="00CA06CD" w:rsidRDefault="00CA06CD" w:rsidP="00CA06CD">
      <w:pPr>
        <w:pStyle w:val="BodyText"/>
        <w:rPr>
          <w:rFonts w:ascii="Calibri" w:hAnsi="Calibri"/>
          <w:lang w:eastAsia="ko-KR"/>
        </w:rPr>
      </w:pPr>
      <w:r w:rsidRPr="00CA06CD">
        <w:rPr>
          <w:rFonts w:ascii="Calibri" w:hAnsi="Calibri"/>
          <w:lang w:eastAsia="ko-KR"/>
        </w:rPr>
        <w:t>Based on their assessment of available technologies, e</w:t>
      </w:r>
      <w:r w:rsidRPr="00CA06CD">
        <w:rPr>
          <w:rFonts w:ascii="Cambria Math" w:hAnsi="Cambria Math" w:cs="Cambria Math"/>
          <w:lang w:eastAsia="ko-KR"/>
        </w:rPr>
        <w:t>‑</w:t>
      </w:r>
      <w:r w:rsidRPr="00CA06CD">
        <w:rPr>
          <w:rFonts w:ascii="Calibri" w:hAnsi="Calibri"/>
          <w:lang w:eastAsia="ko-KR"/>
        </w:rPr>
        <w:t>Loran was identified as a viable and effective solution to enhance positioning, navigation and timing (PNT) resilience. It was further noted that the United Kingdom, France and the Republic of Korea are cooperating in the development and updating of relevant e</w:t>
      </w:r>
      <w:r w:rsidRPr="00CA06CD">
        <w:rPr>
          <w:rFonts w:ascii="Cambria Math" w:hAnsi="Cambria Math" w:cs="Cambria Math"/>
          <w:lang w:eastAsia="ko-KR"/>
        </w:rPr>
        <w:t>‑</w:t>
      </w:r>
      <w:r w:rsidRPr="00CA06CD">
        <w:rPr>
          <w:rFonts w:ascii="Calibri" w:hAnsi="Calibri"/>
          <w:lang w:eastAsia="ko-KR"/>
        </w:rPr>
        <w:t>Loran standards. In this context, IALA indicated its readiness to host and publish such standards, as appropriate.</w:t>
      </w:r>
    </w:p>
    <w:p w14:paraId="0618608C" w14:textId="77777777" w:rsidR="00A446C9" w:rsidRPr="007A395D" w:rsidRDefault="00A446C9" w:rsidP="00605E43">
      <w:pPr>
        <w:pStyle w:val="Heading1"/>
      </w:pPr>
      <w:r>
        <w:t>Action requested of the Committee</w:t>
      </w:r>
    </w:p>
    <w:p w14:paraId="703C9CA5" w14:textId="77777777" w:rsidR="002300CD" w:rsidRPr="00516430" w:rsidRDefault="00394293" w:rsidP="00516430">
      <w:pPr>
        <w:pStyle w:val="Heading4"/>
        <w:numPr>
          <w:ilvl w:val="0"/>
          <w:numId w:val="0"/>
        </w:numPr>
        <w:rPr>
          <w:rFonts w:asciiTheme="minorHAnsi" w:hAnsiTheme="minorHAnsi" w:cstheme="minorHAnsi"/>
        </w:rPr>
      </w:pPr>
      <w:r>
        <w:rPr>
          <w:rFonts w:asciiTheme="minorHAnsi" w:hAnsiTheme="minorHAnsi" w:cstheme="minorHAnsi"/>
          <w:b/>
          <w:bCs/>
        </w:rPr>
        <w:t>Note</w:t>
      </w:r>
      <w:r>
        <w:rPr>
          <w:rFonts w:asciiTheme="minorHAnsi" w:hAnsiTheme="minorHAnsi" w:cstheme="minorHAnsi"/>
        </w:rPr>
        <w:t xml:space="preserve"> </w:t>
      </w:r>
      <w:r>
        <w:rPr>
          <w:rFonts w:asciiTheme="minorHAnsi" w:hAnsiTheme="minorHAnsi" w:cstheme="minorHAnsi"/>
          <w:bCs/>
        </w:rPr>
        <w:t>the information provided.</w:t>
      </w:r>
      <w:r>
        <w:rPr>
          <w:rFonts w:asciiTheme="minorHAnsi" w:hAnsiTheme="minorHAnsi" w:cstheme="minorHAnsi"/>
        </w:rPr>
        <w:t xml:space="preserve"> </w:t>
      </w:r>
    </w:p>
    <w:sectPr w:rsidR="002300CD" w:rsidRPr="00516430" w:rsidSect="0082480E">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DE84" w14:textId="77777777" w:rsidR="000966EA" w:rsidRDefault="000966EA" w:rsidP="00362CD9">
      <w:r>
        <w:separator/>
      </w:r>
    </w:p>
  </w:endnote>
  <w:endnote w:type="continuationSeparator" w:id="0">
    <w:p w14:paraId="0572D8A9" w14:textId="77777777" w:rsidR="000966EA" w:rsidRDefault="000966EA"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6BC04" w14:textId="77777777" w:rsidR="00362CD9" w:rsidRPr="00036B9E" w:rsidRDefault="00362CD9">
    <w:pPr>
      <w:pStyle w:val="Footer"/>
      <w:rPr>
        <w:rFonts w:ascii="Calibri" w:hAnsi="Calibri"/>
      </w:rPr>
    </w:pP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sidR="00EE3CC5">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7F41" w14:textId="77777777" w:rsidR="000966EA" w:rsidRDefault="000966EA" w:rsidP="00362CD9">
      <w:r>
        <w:separator/>
      </w:r>
    </w:p>
  </w:footnote>
  <w:footnote w:type="continuationSeparator" w:id="0">
    <w:p w14:paraId="4ACA4FD4" w14:textId="77777777" w:rsidR="000966EA" w:rsidRDefault="000966EA" w:rsidP="0036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47BF4" w14:textId="77777777" w:rsidR="007C346C" w:rsidRDefault="007A395D" w:rsidP="007A395D">
    <w:pPr>
      <w:pStyle w:val="Header"/>
      <w:jc w:val="right"/>
    </w:pPr>
    <w:r>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86AD" w14:textId="77777777" w:rsidR="00BC2334" w:rsidRDefault="00BC2334"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184074B0" w14:textId="77777777" w:rsidR="00BC2334" w:rsidRDefault="00BC2334" w:rsidP="007A395D">
    <w:pPr>
      <w:pStyle w:val="Header"/>
      <w:jc w:val="center"/>
    </w:pPr>
  </w:p>
  <w:p w14:paraId="7BC9559B" w14:textId="77777777"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733"/>
    <w:multiLevelType w:val="multilevel"/>
    <w:tmpl w:val="8080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A0E59"/>
    <w:multiLevelType w:val="hybridMultilevel"/>
    <w:tmpl w:val="21681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A0AB2"/>
    <w:multiLevelType w:val="multilevel"/>
    <w:tmpl w:val="0A604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66228"/>
    <w:multiLevelType w:val="hybridMultilevel"/>
    <w:tmpl w:val="8146B8D8"/>
    <w:lvl w:ilvl="0" w:tplc="88300844">
      <w:start w:val="5"/>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32348B"/>
    <w:multiLevelType w:val="hybridMultilevel"/>
    <w:tmpl w:val="D574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761F0"/>
    <w:multiLevelType w:val="multilevel"/>
    <w:tmpl w:val="E5AA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66C35"/>
    <w:multiLevelType w:val="multilevel"/>
    <w:tmpl w:val="0032C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C51C0"/>
    <w:multiLevelType w:val="multilevel"/>
    <w:tmpl w:val="F9442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1C4D7923"/>
    <w:multiLevelType w:val="multilevel"/>
    <w:tmpl w:val="0106C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F4040"/>
    <w:multiLevelType w:val="multilevel"/>
    <w:tmpl w:val="131C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FB91A25"/>
    <w:multiLevelType w:val="multilevel"/>
    <w:tmpl w:val="8D3A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9620EC"/>
    <w:multiLevelType w:val="multilevel"/>
    <w:tmpl w:val="6F96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277159"/>
    <w:multiLevelType w:val="multilevel"/>
    <w:tmpl w:val="7EACF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FF51F2"/>
    <w:multiLevelType w:val="hybridMultilevel"/>
    <w:tmpl w:val="FEF6D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ED6763"/>
    <w:multiLevelType w:val="multilevel"/>
    <w:tmpl w:val="1C74F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E02FD0"/>
    <w:multiLevelType w:val="multilevel"/>
    <w:tmpl w:val="DA4C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0C1F13"/>
    <w:multiLevelType w:val="multilevel"/>
    <w:tmpl w:val="C842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24" w15:restartNumberingAfterBreak="0">
    <w:nsid w:val="40577EBD"/>
    <w:multiLevelType w:val="multilevel"/>
    <w:tmpl w:val="C33E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47555B09"/>
    <w:multiLevelType w:val="multilevel"/>
    <w:tmpl w:val="7FB25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0"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03A05EB"/>
    <w:multiLevelType w:val="hybridMultilevel"/>
    <w:tmpl w:val="46861218"/>
    <w:lvl w:ilvl="0" w:tplc="069A7AE0">
      <w:numFmt w:val="bullet"/>
      <w:lvlText w:val=""/>
      <w:lvlJc w:val="left"/>
      <w:pPr>
        <w:ind w:left="720" w:hanging="360"/>
      </w:pPr>
      <w:rPr>
        <w:rFonts w:ascii="Wingdings" w:eastAsia="Batang"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694D0B"/>
    <w:multiLevelType w:val="multilevel"/>
    <w:tmpl w:val="AB1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2E231D"/>
    <w:multiLevelType w:val="multilevel"/>
    <w:tmpl w:val="978E9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24140F"/>
    <w:multiLevelType w:val="multilevel"/>
    <w:tmpl w:val="561CF78C"/>
    <w:lvl w:ilvl="0">
      <w:start w:val="1"/>
      <w:numFmt w:val="decimal"/>
      <w:lvlText w:val="%1"/>
      <w:lvlJc w:val="left"/>
      <w:pPr>
        <w:ind w:left="989" w:hanging="851"/>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38" w:hanging="851"/>
      </w:pPr>
      <w:rPr>
        <w:rFonts w:hint="default"/>
        <w:spacing w:val="0"/>
        <w:w w:val="99"/>
        <w:lang w:val="en-US" w:eastAsia="en-US" w:bidi="ar-SA"/>
      </w:rPr>
    </w:lvl>
    <w:lvl w:ilvl="2">
      <w:start w:val="1"/>
      <w:numFmt w:val="decimal"/>
      <w:lvlText w:val="%1.%2.%3"/>
      <w:lvlJc w:val="left"/>
      <w:pPr>
        <w:ind w:left="138" w:hanging="851"/>
      </w:pPr>
      <w:rPr>
        <w:rFonts w:ascii="Arial" w:eastAsia="Arial" w:hAnsi="Arial" w:cs="Arial" w:hint="default"/>
        <w:b w:val="0"/>
        <w:bCs w:val="0"/>
        <w:i w:val="0"/>
        <w:iCs w:val="0"/>
        <w:spacing w:val="0"/>
        <w:w w:val="99"/>
        <w:sz w:val="22"/>
        <w:szCs w:val="22"/>
        <w:lang w:val="en-US" w:eastAsia="en-US" w:bidi="ar-SA"/>
      </w:rPr>
    </w:lvl>
    <w:lvl w:ilvl="3">
      <w:start w:val="1"/>
      <w:numFmt w:val="decimal"/>
      <w:lvlText w:val=".%4"/>
      <w:lvlJc w:val="left"/>
      <w:pPr>
        <w:ind w:left="1840" w:hanging="851"/>
      </w:pPr>
      <w:rPr>
        <w:rFonts w:ascii="Arial" w:eastAsia="Arial" w:hAnsi="Arial" w:cs="Arial" w:hint="default"/>
        <w:b w:val="0"/>
        <w:bCs w:val="0"/>
        <w:i w:val="0"/>
        <w:iCs w:val="0"/>
        <w:spacing w:val="0"/>
        <w:w w:val="99"/>
        <w:sz w:val="22"/>
        <w:szCs w:val="22"/>
        <w:lang w:val="en-US" w:eastAsia="en-US" w:bidi="ar-SA"/>
      </w:rPr>
    </w:lvl>
    <w:lvl w:ilvl="4">
      <w:numFmt w:val="bullet"/>
      <w:lvlText w:val="•"/>
      <w:lvlJc w:val="left"/>
      <w:pPr>
        <w:ind w:left="3715" w:hanging="851"/>
      </w:pPr>
      <w:rPr>
        <w:rFonts w:hint="default"/>
        <w:lang w:val="en-US" w:eastAsia="en-US" w:bidi="ar-SA"/>
      </w:rPr>
    </w:lvl>
    <w:lvl w:ilvl="5">
      <w:numFmt w:val="bullet"/>
      <w:lvlText w:val="•"/>
      <w:lvlJc w:val="left"/>
      <w:pPr>
        <w:ind w:left="4652" w:hanging="851"/>
      </w:pPr>
      <w:rPr>
        <w:rFonts w:hint="default"/>
        <w:lang w:val="en-US" w:eastAsia="en-US" w:bidi="ar-SA"/>
      </w:rPr>
    </w:lvl>
    <w:lvl w:ilvl="6">
      <w:numFmt w:val="bullet"/>
      <w:lvlText w:val="•"/>
      <w:lvlJc w:val="left"/>
      <w:pPr>
        <w:ind w:left="5590" w:hanging="851"/>
      </w:pPr>
      <w:rPr>
        <w:rFonts w:hint="default"/>
        <w:lang w:val="en-US" w:eastAsia="en-US" w:bidi="ar-SA"/>
      </w:rPr>
    </w:lvl>
    <w:lvl w:ilvl="7">
      <w:numFmt w:val="bullet"/>
      <w:lvlText w:val="•"/>
      <w:lvlJc w:val="left"/>
      <w:pPr>
        <w:ind w:left="6527" w:hanging="851"/>
      </w:pPr>
      <w:rPr>
        <w:rFonts w:hint="default"/>
        <w:lang w:val="en-US" w:eastAsia="en-US" w:bidi="ar-SA"/>
      </w:rPr>
    </w:lvl>
    <w:lvl w:ilvl="8">
      <w:numFmt w:val="bullet"/>
      <w:lvlText w:val="•"/>
      <w:lvlJc w:val="left"/>
      <w:pPr>
        <w:ind w:left="7465" w:hanging="851"/>
      </w:pPr>
      <w:rPr>
        <w:rFonts w:hint="default"/>
        <w:lang w:val="en-US" w:eastAsia="en-US" w:bidi="ar-SA"/>
      </w:rPr>
    </w:lvl>
  </w:abstractNum>
  <w:abstractNum w:abstractNumId="36" w15:restartNumberingAfterBreak="0">
    <w:nsid w:val="57BF107C"/>
    <w:multiLevelType w:val="hybridMultilevel"/>
    <w:tmpl w:val="626C3432"/>
    <w:lvl w:ilvl="0" w:tplc="36FA7D74">
      <w:numFmt w:val="bullet"/>
      <w:lvlText w:val=""/>
      <w:lvlJc w:val="left"/>
      <w:pPr>
        <w:ind w:left="720" w:hanging="360"/>
      </w:pPr>
      <w:rPr>
        <w:rFonts w:ascii="Wingdings" w:eastAsia="Batang"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CA4816"/>
    <w:multiLevelType w:val="multilevel"/>
    <w:tmpl w:val="89BC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0AC6BE0"/>
    <w:multiLevelType w:val="multilevel"/>
    <w:tmpl w:val="96F8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FA3236"/>
    <w:multiLevelType w:val="multilevel"/>
    <w:tmpl w:val="222C3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2"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F171DD7"/>
    <w:multiLevelType w:val="hybridMultilevel"/>
    <w:tmpl w:val="D17AD094"/>
    <w:lvl w:ilvl="0" w:tplc="6DACD67E">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D7D1A"/>
    <w:multiLevelType w:val="hybridMultilevel"/>
    <w:tmpl w:val="30768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275E58"/>
    <w:multiLevelType w:val="multilevel"/>
    <w:tmpl w:val="4ABE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260F01"/>
    <w:multiLevelType w:val="hybridMultilevel"/>
    <w:tmpl w:val="91B66504"/>
    <w:lvl w:ilvl="0" w:tplc="584A9CBE">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57667">
    <w:abstractNumId w:val="38"/>
  </w:num>
  <w:num w:numId="2" w16cid:durableId="273825793">
    <w:abstractNumId w:val="28"/>
  </w:num>
  <w:num w:numId="3" w16cid:durableId="542251113">
    <w:abstractNumId w:val="5"/>
  </w:num>
  <w:num w:numId="4" w16cid:durableId="441730938">
    <w:abstractNumId w:val="42"/>
  </w:num>
  <w:num w:numId="5" w16cid:durableId="953445795">
    <w:abstractNumId w:val="18"/>
  </w:num>
  <w:num w:numId="6" w16cid:durableId="711656638">
    <w:abstractNumId w:val="14"/>
  </w:num>
  <w:num w:numId="7" w16cid:durableId="961574725">
    <w:abstractNumId w:val="30"/>
  </w:num>
  <w:num w:numId="8" w16cid:durableId="1279677472">
    <w:abstractNumId w:val="29"/>
  </w:num>
  <w:num w:numId="9" w16cid:durableId="719592543">
    <w:abstractNumId w:val="41"/>
  </w:num>
  <w:num w:numId="10" w16cid:durableId="277414519">
    <w:abstractNumId w:val="12"/>
  </w:num>
  <w:num w:numId="11" w16cid:durableId="1446535492">
    <w:abstractNumId w:val="32"/>
  </w:num>
  <w:num w:numId="12" w16cid:durableId="868035018">
    <w:abstractNumId w:val="25"/>
  </w:num>
  <w:num w:numId="13" w16cid:durableId="2026443237">
    <w:abstractNumId w:val="23"/>
  </w:num>
  <w:num w:numId="14" w16cid:durableId="274875165">
    <w:abstractNumId w:val="10"/>
  </w:num>
  <w:num w:numId="15" w16cid:durableId="921598306">
    <w:abstractNumId w:val="27"/>
  </w:num>
  <w:num w:numId="16" w16cid:durableId="36123212">
    <w:abstractNumId w:val="3"/>
  </w:num>
  <w:num w:numId="17" w16cid:durableId="1787429411">
    <w:abstractNumId w:val="43"/>
  </w:num>
  <w:num w:numId="18" w16cid:durableId="2080639164">
    <w:abstractNumId w:val="19"/>
  </w:num>
  <w:num w:numId="19" w16cid:durableId="341519012">
    <w:abstractNumId w:val="24"/>
  </w:num>
  <w:num w:numId="20" w16cid:durableId="1387992271">
    <w:abstractNumId w:val="44"/>
  </w:num>
  <w:num w:numId="21" w16cid:durableId="1799642806">
    <w:abstractNumId w:val="26"/>
  </w:num>
  <w:num w:numId="22" w16cid:durableId="1829125166">
    <w:abstractNumId w:val="1"/>
  </w:num>
  <w:num w:numId="23" w16cid:durableId="707485253">
    <w:abstractNumId w:val="11"/>
  </w:num>
  <w:num w:numId="24" w16cid:durableId="1167746315">
    <w:abstractNumId w:val="36"/>
  </w:num>
  <w:num w:numId="25" w16cid:durableId="1008673221">
    <w:abstractNumId w:val="4"/>
  </w:num>
  <w:num w:numId="26" w16cid:durableId="329529451">
    <w:abstractNumId w:val="6"/>
  </w:num>
  <w:num w:numId="27" w16cid:durableId="393742626">
    <w:abstractNumId w:val="8"/>
  </w:num>
  <w:num w:numId="28" w16cid:durableId="589385492">
    <w:abstractNumId w:val="35"/>
  </w:num>
  <w:num w:numId="29" w16cid:durableId="349185630">
    <w:abstractNumId w:val="46"/>
  </w:num>
  <w:num w:numId="30" w16cid:durableId="1078746305">
    <w:abstractNumId w:val="22"/>
  </w:num>
  <w:num w:numId="31" w16cid:durableId="2084329859">
    <w:abstractNumId w:val="15"/>
  </w:num>
  <w:num w:numId="32" w16cid:durableId="236285473">
    <w:abstractNumId w:val="37"/>
  </w:num>
  <w:num w:numId="33" w16cid:durableId="845367771">
    <w:abstractNumId w:val="21"/>
  </w:num>
  <w:num w:numId="34" w16cid:durableId="736047781">
    <w:abstractNumId w:val="39"/>
  </w:num>
  <w:num w:numId="35" w16cid:durableId="1568417437">
    <w:abstractNumId w:val="17"/>
  </w:num>
  <w:num w:numId="36" w16cid:durableId="1248346648">
    <w:abstractNumId w:val="0"/>
  </w:num>
  <w:num w:numId="37" w16cid:durableId="1152453686">
    <w:abstractNumId w:val="34"/>
  </w:num>
  <w:num w:numId="38" w16cid:durableId="1167134976">
    <w:abstractNumId w:val="7"/>
  </w:num>
  <w:num w:numId="39" w16cid:durableId="99834107">
    <w:abstractNumId w:val="16"/>
  </w:num>
  <w:num w:numId="40" w16cid:durableId="953248722">
    <w:abstractNumId w:val="40"/>
  </w:num>
  <w:num w:numId="41" w16cid:durableId="1183862316">
    <w:abstractNumId w:val="9"/>
  </w:num>
  <w:num w:numId="42" w16cid:durableId="1741708495">
    <w:abstractNumId w:val="13"/>
  </w:num>
  <w:num w:numId="43" w16cid:durableId="1277716002">
    <w:abstractNumId w:val="20"/>
  </w:num>
  <w:num w:numId="44" w16cid:durableId="1918586070">
    <w:abstractNumId w:val="2"/>
  </w:num>
  <w:num w:numId="45" w16cid:durableId="1491018495">
    <w:abstractNumId w:val="45"/>
  </w:num>
  <w:num w:numId="46" w16cid:durableId="1888568118">
    <w:abstractNumId w:val="10"/>
  </w:num>
  <w:num w:numId="47" w16cid:durableId="2137287283">
    <w:abstractNumId w:val="10"/>
  </w:num>
  <w:num w:numId="48" w16cid:durableId="1303315379">
    <w:abstractNumId w:val="33"/>
  </w:num>
  <w:num w:numId="49" w16cid:durableId="78735284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49D8"/>
    <w:rsid w:val="00012923"/>
    <w:rsid w:val="0001589F"/>
    <w:rsid w:val="000205EE"/>
    <w:rsid w:val="00021EBA"/>
    <w:rsid w:val="00026AAB"/>
    <w:rsid w:val="00036A03"/>
    <w:rsid w:val="00036B9E"/>
    <w:rsid w:val="00037DF4"/>
    <w:rsid w:val="00042FFA"/>
    <w:rsid w:val="00044DE4"/>
    <w:rsid w:val="0004700E"/>
    <w:rsid w:val="000656CD"/>
    <w:rsid w:val="00065E0E"/>
    <w:rsid w:val="00065E21"/>
    <w:rsid w:val="00066B85"/>
    <w:rsid w:val="00070C13"/>
    <w:rsid w:val="000715C9"/>
    <w:rsid w:val="00081EBE"/>
    <w:rsid w:val="00081FC9"/>
    <w:rsid w:val="00082035"/>
    <w:rsid w:val="0008304E"/>
    <w:rsid w:val="00084F33"/>
    <w:rsid w:val="0008507C"/>
    <w:rsid w:val="000864B3"/>
    <w:rsid w:val="000966EA"/>
    <w:rsid w:val="000A534E"/>
    <w:rsid w:val="000A77A7"/>
    <w:rsid w:val="000B1707"/>
    <w:rsid w:val="000B55DF"/>
    <w:rsid w:val="000B5DA4"/>
    <w:rsid w:val="000C0F74"/>
    <w:rsid w:val="000C0FEE"/>
    <w:rsid w:val="000C1B3E"/>
    <w:rsid w:val="000C349E"/>
    <w:rsid w:val="000C5848"/>
    <w:rsid w:val="000D1D25"/>
    <w:rsid w:val="000D31B5"/>
    <w:rsid w:val="000E1E8C"/>
    <w:rsid w:val="000F0C27"/>
    <w:rsid w:val="001004F4"/>
    <w:rsid w:val="00103FFF"/>
    <w:rsid w:val="0010494D"/>
    <w:rsid w:val="00110AE7"/>
    <w:rsid w:val="00114F7D"/>
    <w:rsid w:val="0012231B"/>
    <w:rsid w:val="00122B69"/>
    <w:rsid w:val="0013209A"/>
    <w:rsid w:val="00135A91"/>
    <w:rsid w:val="00135B0A"/>
    <w:rsid w:val="00136FB1"/>
    <w:rsid w:val="00165F02"/>
    <w:rsid w:val="00177F4D"/>
    <w:rsid w:val="00180DDA"/>
    <w:rsid w:val="001817F0"/>
    <w:rsid w:val="00181CC4"/>
    <w:rsid w:val="00181E13"/>
    <w:rsid w:val="00184F61"/>
    <w:rsid w:val="00194343"/>
    <w:rsid w:val="001A1520"/>
    <w:rsid w:val="001B2A2D"/>
    <w:rsid w:val="001B737D"/>
    <w:rsid w:val="001C44A3"/>
    <w:rsid w:val="001C4813"/>
    <w:rsid w:val="001C533A"/>
    <w:rsid w:val="001E0E15"/>
    <w:rsid w:val="001F297E"/>
    <w:rsid w:val="001F528A"/>
    <w:rsid w:val="001F704E"/>
    <w:rsid w:val="001F733C"/>
    <w:rsid w:val="00201722"/>
    <w:rsid w:val="00202F66"/>
    <w:rsid w:val="002059EF"/>
    <w:rsid w:val="002125B0"/>
    <w:rsid w:val="002153B5"/>
    <w:rsid w:val="002276C9"/>
    <w:rsid w:val="002300CD"/>
    <w:rsid w:val="0023163E"/>
    <w:rsid w:val="00233F46"/>
    <w:rsid w:val="00236476"/>
    <w:rsid w:val="00243228"/>
    <w:rsid w:val="00245AA9"/>
    <w:rsid w:val="00251425"/>
    <w:rsid w:val="00251483"/>
    <w:rsid w:val="002514AF"/>
    <w:rsid w:val="00255CAA"/>
    <w:rsid w:val="00264305"/>
    <w:rsid w:val="0027236F"/>
    <w:rsid w:val="002734B4"/>
    <w:rsid w:val="00276488"/>
    <w:rsid w:val="00283A18"/>
    <w:rsid w:val="002853AE"/>
    <w:rsid w:val="0028701D"/>
    <w:rsid w:val="002A0346"/>
    <w:rsid w:val="002A1722"/>
    <w:rsid w:val="002A32F2"/>
    <w:rsid w:val="002A4487"/>
    <w:rsid w:val="002A6F66"/>
    <w:rsid w:val="002B441C"/>
    <w:rsid w:val="002B49E9"/>
    <w:rsid w:val="002C4FEA"/>
    <w:rsid w:val="002C632E"/>
    <w:rsid w:val="002C65B1"/>
    <w:rsid w:val="002D3E8B"/>
    <w:rsid w:val="002D4575"/>
    <w:rsid w:val="002D5C0C"/>
    <w:rsid w:val="002E03D1"/>
    <w:rsid w:val="002E2FB1"/>
    <w:rsid w:val="002E6B74"/>
    <w:rsid w:val="002E6FCA"/>
    <w:rsid w:val="002E78C2"/>
    <w:rsid w:val="002F4AA9"/>
    <w:rsid w:val="002F7D70"/>
    <w:rsid w:val="003002E9"/>
    <w:rsid w:val="00306B34"/>
    <w:rsid w:val="003203AB"/>
    <w:rsid w:val="00325B9F"/>
    <w:rsid w:val="003351E0"/>
    <w:rsid w:val="00342F93"/>
    <w:rsid w:val="00356CD0"/>
    <w:rsid w:val="00356FDF"/>
    <w:rsid w:val="00362CD9"/>
    <w:rsid w:val="003761CA"/>
    <w:rsid w:val="003767E3"/>
    <w:rsid w:val="003800DA"/>
    <w:rsid w:val="003808F9"/>
    <w:rsid w:val="00380DAF"/>
    <w:rsid w:val="00392FC6"/>
    <w:rsid w:val="00394293"/>
    <w:rsid w:val="00396F4B"/>
    <w:rsid w:val="003972CE"/>
    <w:rsid w:val="00397BF2"/>
    <w:rsid w:val="003A7C87"/>
    <w:rsid w:val="003B01D8"/>
    <w:rsid w:val="003B1D2A"/>
    <w:rsid w:val="003B28F5"/>
    <w:rsid w:val="003B390E"/>
    <w:rsid w:val="003B481D"/>
    <w:rsid w:val="003B7B7D"/>
    <w:rsid w:val="003C18C4"/>
    <w:rsid w:val="003C1BB1"/>
    <w:rsid w:val="003C54CB"/>
    <w:rsid w:val="003C7A2A"/>
    <w:rsid w:val="003D2DC1"/>
    <w:rsid w:val="003D4BDC"/>
    <w:rsid w:val="003D4D0B"/>
    <w:rsid w:val="003D69D0"/>
    <w:rsid w:val="003E2B0E"/>
    <w:rsid w:val="003F2918"/>
    <w:rsid w:val="003F430E"/>
    <w:rsid w:val="004058A0"/>
    <w:rsid w:val="0041088C"/>
    <w:rsid w:val="00412DD0"/>
    <w:rsid w:val="00413E93"/>
    <w:rsid w:val="00420A38"/>
    <w:rsid w:val="00424EDC"/>
    <w:rsid w:val="00425D98"/>
    <w:rsid w:val="00431B19"/>
    <w:rsid w:val="00451496"/>
    <w:rsid w:val="00463221"/>
    <w:rsid w:val="004661AD"/>
    <w:rsid w:val="004766B3"/>
    <w:rsid w:val="00484EBF"/>
    <w:rsid w:val="004A6C1D"/>
    <w:rsid w:val="004C0C05"/>
    <w:rsid w:val="004C2DEB"/>
    <w:rsid w:val="004C754D"/>
    <w:rsid w:val="004D0531"/>
    <w:rsid w:val="004D1D85"/>
    <w:rsid w:val="004D361E"/>
    <w:rsid w:val="004D3C3A"/>
    <w:rsid w:val="004E1B19"/>
    <w:rsid w:val="004E1CD1"/>
    <w:rsid w:val="004E21B8"/>
    <w:rsid w:val="004F7EFC"/>
    <w:rsid w:val="00500CE7"/>
    <w:rsid w:val="00501156"/>
    <w:rsid w:val="0050787B"/>
    <w:rsid w:val="005107EB"/>
    <w:rsid w:val="00510B63"/>
    <w:rsid w:val="00511277"/>
    <w:rsid w:val="00516430"/>
    <w:rsid w:val="00521345"/>
    <w:rsid w:val="005232B8"/>
    <w:rsid w:val="00523A26"/>
    <w:rsid w:val="00526DF0"/>
    <w:rsid w:val="00535139"/>
    <w:rsid w:val="0054063B"/>
    <w:rsid w:val="005451C0"/>
    <w:rsid w:val="00545CC4"/>
    <w:rsid w:val="00551FFF"/>
    <w:rsid w:val="00555473"/>
    <w:rsid w:val="00556AB2"/>
    <w:rsid w:val="005607A2"/>
    <w:rsid w:val="005624CF"/>
    <w:rsid w:val="00564C7D"/>
    <w:rsid w:val="00565B05"/>
    <w:rsid w:val="00570835"/>
    <w:rsid w:val="0057198B"/>
    <w:rsid w:val="00573CFE"/>
    <w:rsid w:val="0057460F"/>
    <w:rsid w:val="00574D80"/>
    <w:rsid w:val="005802F4"/>
    <w:rsid w:val="005969F2"/>
    <w:rsid w:val="00597FAE"/>
    <w:rsid w:val="005B32A3"/>
    <w:rsid w:val="005C077A"/>
    <w:rsid w:val="005C0D44"/>
    <w:rsid w:val="005C14D5"/>
    <w:rsid w:val="005C3CA6"/>
    <w:rsid w:val="005C566C"/>
    <w:rsid w:val="005C7E69"/>
    <w:rsid w:val="005D36FB"/>
    <w:rsid w:val="005E14F5"/>
    <w:rsid w:val="005E262D"/>
    <w:rsid w:val="005E6CE2"/>
    <w:rsid w:val="005F23D3"/>
    <w:rsid w:val="005F7E20"/>
    <w:rsid w:val="00605E43"/>
    <w:rsid w:val="006113E8"/>
    <w:rsid w:val="0061171D"/>
    <w:rsid w:val="006133EC"/>
    <w:rsid w:val="006153BB"/>
    <w:rsid w:val="00632874"/>
    <w:rsid w:val="00633547"/>
    <w:rsid w:val="00634401"/>
    <w:rsid w:val="00634A7A"/>
    <w:rsid w:val="00662239"/>
    <w:rsid w:val="00664189"/>
    <w:rsid w:val="006652C3"/>
    <w:rsid w:val="00665D80"/>
    <w:rsid w:val="00667C97"/>
    <w:rsid w:val="006720FF"/>
    <w:rsid w:val="00681A10"/>
    <w:rsid w:val="006906A8"/>
    <w:rsid w:val="00691FD0"/>
    <w:rsid w:val="00692148"/>
    <w:rsid w:val="00694E48"/>
    <w:rsid w:val="006A1A1E"/>
    <w:rsid w:val="006A6184"/>
    <w:rsid w:val="006B42D2"/>
    <w:rsid w:val="006B5337"/>
    <w:rsid w:val="006C5948"/>
    <w:rsid w:val="006D3734"/>
    <w:rsid w:val="006E052C"/>
    <w:rsid w:val="006E2E17"/>
    <w:rsid w:val="006E30FD"/>
    <w:rsid w:val="006F2A74"/>
    <w:rsid w:val="006F7FBB"/>
    <w:rsid w:val="007000D4"/>
    <w:rsid w:val="00702E81"/>
    <w:rsid w:val="00704A22"/>
    <w:rsid w:val="007118F5"/>
    <w:rsid w:val="00712AA4"/>
    <w:rsid w:val="007146C4"/>
    <w:rsid w:val="007155EB"/>
    <w:rsid w:val="0071613E"/>
    <w:rsid w:val="007169D4"/>
    <w:rsid w:val="007206B0"/>
    <w:rsid w:val="00721AA1"/>
    <w:rsid w:val="00724B67"/>
    <w:rsid w:val="0072572C"/>
    <w:rsid w:val="00726291"/>
    <w:rsid w:val="0074172B"/>
    <w:rsid w:val="007523D0"/>
    <w:rsid w:val="007547F8"/>
    <w:rsid w:val="00755314"/>
    <w:rsid w:val="00765622"/>
    <w:rsid w:val="00770B6C"/>
    <w:rsid w:val="00772A62"/>
    <w:rsid w:val="00773FBF"/>
    <w:rsid w:val="00783FEA"/>
    <w:rsid w:val="0079067F"/>
    <w:rsid w:val="007A395D"/>
    <w:rsid w:val="007A4B82"/>
    <w:rsid w:val="007B421E"/>
    <w:rsid w:val="007B6BD5"/>
    <w:rsid w:val="007C183B"/>
    <w:rsid w:val="007C346C"/>
    <w:rsid w:val="007D01F9"/>
    <w:rsid w:val="007D2EEA"/>
    <w:rsid w:val="007E4566"/>
    <w:rsid w:val="007E6479"/>
    <w:rsid w:val="007F634E"/>
    <w:rsid w:val="0080294B"/>
    <w:rsid w:val="00804EAE"/>
    <w:rsid w:val="008056B3"/>
    <w:rsid w:val="00810953"/>
    <w:rsid w:val="00821D33"/>
    <w:rsid w:val="0082480E"/>
    <w:rsid w:val="00830BD5"/>
    <w:rsid w:val="00850293"/>
    <w:rsid w:val="00851373"/>
    <w:rsid w:val="00851BA6"/>
    <w:rsid w:val="0085654D"/>
    <w:rsid w:val="00861160"/>
    <w:rsid w:val="0086654F"/>
    <w:rsid w:val="008701A3"/>
    <w:rsid w:val="00872951"/>
    <w:rsid w:val="0087413E"/>
    <w:rsid w:val="00882B87"/>
    <w:rsid w:val="00887025"/>
    <w:rsid w:val="008934DD"/>
    <w:rsid w:val="008A03FE"/>
    <w:rsid w:val="008A356F"/>
    <w:rsid w:val="008A4653"/>
    <w:rsid w:val="008A4717"/>
    <w:rsid w:val="008A50CC"/>
    <w:rsid w:val="008A6EEA"/>
    <w:rsid w:val="008B3040"/>
    <w:rsid w:val="008B7A56"/>
    <w:rsid w:val="008C0D30"/>
    <w:rsid w:val="008C215F"/>
    <w:rsid w:val="008C574F"/>
    <w:rsid w:val="008C673F"/>
    <w:rsid w:val="008D0F13"/>
    <w:rsid w:val="008D1694"/>
    <w:rsid w:val="008D6C1F"/>
    <w:rsid w:val="008D79CB"/>
    <w:rsid w:val="008E1380"/>
    <w:rsid w:val="008E3448"/>
    <w:rsid w:val="008F07BC"/>
    <w:rsid w:val="008F67E9"/>
    <w:rsid w:val="008F74DE"/>
    <w:rsid w:val="00903ABD"/>
    <w:rsid w:val="009052A7"/>
    <w:rsid w:val="0090559B"/>
    <w:rsid w:val="00905BF1"/>
    <w:rsid w:val="00914CCD"/>
    <w:rsid w:val="0091760D"/>
    <w:rsid w:val="00921A9F"/>
    <w:rsid w:val="009247F2"/>
    <w:rsid w:val="00926318"/>
    <w:rsid w:val="0092692B"/>
    <w:rsid w:val="00926974"/>
    <w:rsid w:val="00930561"/>
    <w:rsid w:val="009337D0"/>
    <w:rsid w:val="00943E9C"/>
    <w:rsid w:val="009529EE"/>
    <w:rsid w:val="00953F4D"/>
    <w:rsid w:val="009607A3"/>
    <w:rsid w:val="00960BB8"/>
    <w:rsid w:val="00962013"/>
    <w:rsid w:val="00963E80"/>
    <w:rsid w:val="00964F5C"/>
    <w:rsid w:val="009724EA"/>
    <w:rsid w:val="00973B57"/>
    <w:rsid w:val="00975900"/>
    <w:rsid w:val="00975D11"/>
    <w:rsid w:val="009831C0"/>
    <w:rsid w:val="00985CF0"/>
    <w:rsid w:val="0099161D"/>
    <w:rsid w:val="009918CB"/>
    <w:rsid w:val="009967A5"/>
    <w:rsid w:val="009974D4"/>
    <w:rsid w:val="009B57CD"/>
    <w:rsid w:val="009B74C5"/>
    <w:rsid w:val="009B7BC4"/>
    <w:rsid w:val="009C19E3"/>
    <w:rsid w:val="009D057D"/>
    <w:rsid w:val="009D2F71"/>
    <w:rsid w:val="009D3E6C"/>
    <w:rsid w:val="009E0F8F"/>
    <w:rsid w:val="009E69F7"/>
    <w:rsid w:val="009F3D4A"/>
    <w:rsid w:val="009F4C64"/>
    <w:rsid w:val="00A0389B"/>
    <w:rsid w:val="00A05CC9"/>
    <w:rsid w:val="00A06552"/>
    <w:rsid w:val="00A07AF4"/>
    <w:rsid w:val="00A1615C"/>
    <w:rsid w:val="00A16313"/>
    <w:rsid w:val="00A1667C"/>
    <w:rsid w:val="00A26D9E"/>
    <w:rsid w:val="00A32C39"/>
    <w:rsid w:val="00A33A3C"/>
    <w:rsid w:val="00A371AA"/>
    <w:rsid w:val="00A40BAA"/>
    <w:rsid w:val="00A4190E"/>
    <w:rsid w:val="00A446C9"/>
    <w:rsid w:val="00A45295"/>
    <w:rsid w:val="00A546B7"/>
    <w:rsid w:val="00A635D6"/>
    <w:rsid w:val="00A671E3"/>
    <w:rsid w:val="00A8553A"/>
    <w:rsid w:val="00A86F46"/>
    <w:rsid w:val="00A93AED"/>
    <w:rsid w:val="00A975D7"/>
    <w:rsid w:val="00AA6709"/>
    <w:rsid w:val="00AB0D21"/>
    <w:rsid w:val="00AB5904"/>
    <w:rsid w:val="00AD0460"/>
    <w:rsid w:val="00AD352D"/>
    <w:rsid w:val="00AE1319"/>
    <w:rsid w:val="00AE22DA"/>
    <w:rsid w:val="00AE34BB"/>
    <w:rsid w:val="00AF3358"/>
    <w:rsid w:val="00B066DE"/>
    <w:rsid w:val="00B075F7"/>
    <w:rsid w:val="00B15B65"/>
    <w:rsid w:val="00B222EA"/>
    <w:rsid w:val="00B226F2"/>
    <w:rsid w:val="00B274DF"/>
    <w:rsid w:val="00B32C10"/>
    <w:rsid w:val="00B34003"/>
    <w:rsid w:val="00B43AEF"/>
    <w:rsid w:val="00B51CF0"/>
    <w:rsid w:val="00B52706"/>
    <w:rsid w:val="00B56BDF"/>
    <w:rsid w:val="00B607E3"/>
    <w:rsid w:val="00B65812"/>
    <w:rsid w:val="00B666F2"/>
    <w:rsid w:val="00B70096"/>
    <w:rsid w:val="00B70900"/>
    <w:rsid w:val="00B766DC"/>
    <w:rsid w:val="00B8119E"/>
    <w:rsid w:val="00B8412B"/>
    <w:rsid w:val="00B85CD6"/>
    <w:rsid w:val="00B90A27"/>
    <w:rsid w:val="00B93ADD"/>
    <w:rsid w:val="00B9554D"/>
    <w:rsid w:val="00BB2B9F"/>
    <w:rsid w:val="00BB3375"/>
    <w:rsid w:val="00BB511A"/>
    <w:rsid w:val="00BB79DC"/>
    <w:rsid w:val="00BB7D9E"/>
    <w:rsid w:val="00BC1DCB"/>
    <w:rsid w:val="00BC2334"/>
    <w:rsid w:val="00BD3CB8"/>
    <w:rsid w:val="00BD4E6F"/>
    <w:rsid w:val="00BD76AE"/>
    <w:rsid w:val="00BE195A"/>
    <w:rsid w:val="00BE38E8"/>
    <w:rsid w:val="00BF32F0"/>
    <w:rsid w:val="00BF4DCE"/>
    <w:rsid w:val="00C0157A"/>
    <w:rsid w:val="00C0222F"/>
    <w:rsid w:val="00C05CE5"/>
    <w:rsid w:val="00C05D00"/>
    <w:rsid w:val="00C13FDD"/>
    <w:rsid w:val="00C20B5A"/>
    <w:rsid w:val="00C22776"/>
    <w:rsid w:val="00C22FEB"/>
    <w:rsid w:val="00C235B3"/>
    <w:rsid w:val="00C244A2"/>
    <w:rsid w:val="00C43286"/>
    <w:rsid w:val="00C501C2"/>
    <w:rsid w:val="00C501C7"/>
    <w:rsid w:val="00C6171E"/>
    <w:rsid w:val="00C6238B"/>
    <w:rsid w:val="00C63E20"/>
    <w:rsid w:val="00C64A71"/>
    <w:rsid w:val="00C67F5C"/>
    <w:rsid w:val="00C709B6"/>
    <w:rsid w:val="00C71042"/>
    <w:rsid w:val="00C835B6"/>
    <w:rsid w:val="00C9159C"/>
    <w:rsid w:val="00C91E24"/>
    <w:rsid w:val="00C92762"/>
    <w:rsid w:val="00C977E8"/>
    <w:rsid w:val="00CA06CD"/>
    <w:rsid w:val="00CA6F2C"/>
    <w:rsid w:val="00CC28BF"/>
    <w:rsid w:val="00CC3E50"/>
    <w:rsid w:val="00CC76CB"/>
    <w:rsid w:val="00CD19D9"/>
    <w:rsid w:val="00CD6A13"/>
    <w:rsid w:val="00CF1871"/>
    <w:rsid w:val="00CF30C4"/>
    <w:rsid w:val="00CF3950"/>
    <w:rsid w:val="00CF4008"/>
    <w:rsid w:val="00CF40FB"/>
    <w:rsid w:val="00D0056A"/>
    <w:rsid w:val="00D0130D"/>
    <w:rsid w:val="00D01874"/>
    <w:rsid w:val="00D019CE"/>
    <w:rsid w:val="00D02FDC"/>
    <w:rsid w:val="00D1133E"/>
    <w:rsid w:val="00D11E44"/>
    <w:rsid w:val="00D13FBE"/>
    <w:rsid w:val="00D17A34"/>
    <w:rsid w:val="00D22F1D"/>
    <w:rsid w:val="00D26628"/>
    <w:rsid w:val="00D332B3"/>
    <w:rsid w:val="00D34EE9"/>
    <w:rsid w:val="00D42FA8"/>
    <w:rsid w:val="00D50954"/>
    <w:rsid w:val="00D55207"/>
    <w:rsid w:val="00D55C65"/>
    <w:rsid w:val="00D56102"/>
    <w:rsid w:val="00D62A29"/>
    <w:rsid w:val="00D72454"/>
    <w:rsid w:val="00D727C1"/>
    <w:rsid w:val="00D72981"/>
    <w:rsid w:val="00D75C74"/>
    <w:rsid w:val="00D76CB6"/>
    <w:rsid w:val="00D8141D"/>
    <w:rsid w:val="00D81801"/>
    <w:rsid w:val="00D836FC"/>
    <w:rsid w:val="00D85491"/>
    <w:rsid w:val="00D92B45"/>
    <w:rsid w:val="00D95962"/>
    <w:rsid w:val="00DA7EAB"/>
    <w:rsid w:val="00DB1479"/>
    <w:rsid w:val="00DB4453"/>
    <w:rsid w:val="00DB4EFC"/>
    <w:rsid w:val="00DC389B"/>
    <w:rsid w:val="00DC5398"/>
    <w:rsid w:val="00DC6FC8"/>
    <w:rsid w:val="00DD42C2"/>
    <w:rsid w:val="00DD4D02"/>
    <w:rsid w:val="00DD5682"/>
    <w:rsid w:val="00DE0122"/>
    <w:rsid w:val="00DE0542"/>
    <w:rsid w:val="00DE2835"/>
    <w:rsid w:val="00DE2F71"/>
    <w:rsid w:val="00DE2FEE"/>
    <w:rsid w:val="00DE3154"/>
    <w:rsid w:val="00DE39DD"/>
    <w:rsid w:val="00DF1467"/>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44DD2"/>
    <w:rsid w:val="00E519BC"/>
    <w:rsid w:val="00E558C3"/>
    <w:rsid w:val="00E55927"/>
    <w:rsid w:val="00E60540"/>
    <w:rsid w:val="00E6611D"/>
    <w:rsid w:val="00E703CB"/>
    <w:rsid w:val="00E77122"/>
    <w:rsid w:val="00E912A6"/>
    <w:rsid w:val="00E94D9A"/>
    <w:rsid w:val="00E97E5D"/>
    <w:rsid w:val="00EA4844"/>
    <w:rsid w:val="00EA4D9C"/>
    <w:rsid w:val="00EA5218"/>
    <w:rsid w:val="00EA5755"/>
    <w:rsid w:val="00EA5A97"/>
    <w:rsid w:val="00EB2248"/>
    <w:rsid w:val="00EB75EE"/>
    <w:rsid w:val="00EC441B"/>
    <w:rsid w:val="00EC44CB"/>
    <w:rsid w:val="00EE14D3"/>
    <w:rsid w:val="00EE3CC5"/>
    <w:rsid w:val="00EE4C1D"/>
    <w:rsid w:val="00EF3685"/>
    <w:rsid w:val="00EF40B6"/>
    <w:rsid w:val="00EF72D2"/>
    <w:rsid w:val="00F0010F"/>
    <w:rsid w:val="00F0044D"/>
    <w:rsid w:val="00F03808"/>
    <w:rsid w:val="00F04350"/>
    <w:rsid w:val="00F133DB"/>
    <w:rsid w:val="00F155E1"/>
    <w:rsid w:val="00F159EB"/>
    <w:rsid w:val="00F25BF4"/>
    <w:rsid w:val="00F267DB"/>
    <w:rsid w:val="00F319B8"/>
    <w:rsid w:val="00F4111C"/>
    <w:rsid w:val="00F44D86"/>
    <w:rsid w:val="00F46E33"/>
    <w:rsid w:val="00F46F6F"/>
    <w:rsid w:val="00F503E8"/>
    <w:rsid w:val="00F5526C"/>
    <w:rsid w:val="00F60409"/>
    <w:rsid w:val="00F60608"/>
    <w:rsid w:val="00F62217"/>
    <w:rsid w:val="00F84935"/>
    <w:rsid w:val="00F857B9"/>
    <w:rsid w:val="00F91818"/>
    <w:rsid w:val="00F941CB"/>
    <w:rsid w:val="00FA255C"/>
    <w:rsid w:val="00FA7625"/>
    <w:rsid w:val="00FB17A9"/>
    <w:rsid w:val="00FB397A"/>
    <w:rsid w:val="00FB527C"/>
    <w:rsid w:val="00FB6F75"/>
    <w:rsid w:val="00FC0EB3"/>
    <w:rsid w:val="00FC1EE0"/>
    <w:rsid w:val="00FD2561"/>
    <w:rsid w:val="00FD2F88"/>
    <w:rsid w:val="00FD675E"/>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A285B5"/>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1"/>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styleId="Revision">
    <w:name w:val="Revision"/>
    <w:hidden/>
    <w:uiPriority w:val="99"/>
    <w:semiHidden/>
    <w:rsid w:val="00B666F2"/>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2.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BC3EC8A9-19F2-4081-AF96-6933F208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1664</Words>
  <Characters>8339</Characters>
  <Application>Microsoft Office Word</Application>
  <DocSecurity>0</DocSecurity>
  <Lines>260</Lines>
  <Paragraphs>270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Minsu Jeon</dc:creator>
  <cp:lastModifiedBy>Tom Southall</cp:lastModifiedBy>
  <cp:revision>4</cp:revision>
  <dcterms:created xsi:type="dcterms:W3CDTF">2026-08-19T04:46:00Z</dcterms:created>
  <dcterms:modified xsi:type="dcterms:W3CDTF">2026-08-19T07:26:00Z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ies>
</file>